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07C9" w14:textId="49639240" w:rsidR="009D5D72" w:rsidRPr="00E265B7" w:rsidRDefault="00AA6C99" w:rsidP="00E265B7">
      <w:pPr>
        <w:ind w:right="2213"/>
        <w:rPr>
          <w:sz w:val="20"/>
          <w:szCs w:val="20"/>
        </w:rPr>
      </w:pPr>
      <w:r w:rsidRPr="00E265B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0E66A8D6" wp14:editId="4A69B544">
            <wp:simplePos x="0" y="0"/>
            <wp:positionH relativeFrom="column">
              <wp:posOffset>-182604</wp:posOffset>
            </wp:positionH>
            <wp:positionV relativeFrom="paragraph">
              <wp:posOffset>35</wp:posOffset>
            </wp:positionV>
            <wp:extent cx="1002792" cy="1067123"/>
            <wp:effectExtent l="0" t="0" r="0" b="0"/>
            <wp:wrapSquare wrapText="bothSides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06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B7">
        <w:rPr>
          <w:sz w:val="20"/>
          <w:szCs w:val="20"/>
        </w:rPr>
        <w:t xml:space="preserve">                                        </w:t>
      </w:r>
      <w:r w:rsidRPr="00E265B7">
        <w:rPr>
          <w:sz w:val="20"/>
          <w:szCs w:val="20"/>
        </w:rPr>
        <w:t>BOROUGH OF FANWOOD</w:t>
      </w:r>
    </w:p>
    <w:p w14:paraId="15136956" w14:textId="07647981" w:rsidR="009D5D72" w:rsidRPr="00E265B7" w:rsidRDefault="00AA6C99">
      <w:pPr>
        <w:spacing w:after="12"/>
        <w:ind w:left="3182"/>
        <w:rPr>
          <w:sz w:val="20"/>
          <w:szCs w:val="20"/>
        </w:rPr>
      </w:pPr>
      <w:r w:rsidRPr="00E265B7">
        <w:rPr>
          <w:sz w:val="20"/>
          <w:szCs w:val="20"/>
        </w:rPr>
        <w:t>75 MARTINE A VENUE, NORTH</w:t>
      </w:r>
    </w:p>
    <w:p w14:paraId="259A3DB3" w14:textId="2EAB15BC" w:rsidR="00CC4E42" w:rsidRDefault="004E2BEE" w:rsidP="001A1474">
      <w:pPr>
        <w:spacing w:after="12"/>
        <w:ind w:left="3182"/>
      </w:pPr>
      <w:r w:rsidRPr="00E265B7">
        <w:rPr>
          <w:sz w:val="20"/>
          <w:szCs w:val="20"/>
        </w:rPr>
        <w:t>FANWOOD, N</w:t>
      </w:r>
      <w:r w:rsidR="00AA6C99" w:rsidRPr="00E265B7">
        <w:rPr>
          <w:sz w:val="20"/>
          <w:szCs w:val="20"/>
        </w:rPr>
        <w:t>EW JERSEY 07023</w:t>
      </w:r>
      <w:r w:rsidR="00AA6C99" w:rsidRPr="00E265B7">
        <w:rPr>
          <w:sz w:val="20"/>
          <w:szCs w:val="20"/>
        </w:rPr>
        <w:tab/>
        <w:t>(908) 322-8236</w:t>
      </w:r>
      <w:r w:rsidR="00AA6C99" w:rsidRPr="00E265B7">
        <w:rPr>
          <w:sz w:val="20"/>
          <w:szCs w:val="20"/>
        </w:rPr>
        <w:tab/>
        <w:t>FAX (908) 322-7178</w:t>
      </w:r>
      <w:r w:rsidR="00E265B7" w:rsidRPr="00E265B7">
        <w:rPr>
          <w:sz w:val="20"/>
          <w:szCs w:val="20"/>
        </w:rPr>
        <w:t xml:space="preserve">                                                                 </w:t>
      </w:r>
    </w:p>
    <w:p w14:paraId="17A04867" w14:textId="77777777" w:rsidR="001A1474" w:rsidRDefault="001A1474" w:rsidP="001A1474">
      <w:pPr>
        <w:tabs>
          <w:tab w:val="center" w:pos="3631"/>
          <w:tab w:val="center" w:pos="5585"/>
        </w:tabs>
        <w:spacing w:after="648"/>
        <w:jc w:val="center"/>
      </w:pPr>
    </w:p>
    <w:p w14:paraId="5E47E347" w14:textId="6D9E585B" w:rsidR="001A1474" w:rsidRDefault="001A1474" w:rsidP="001A1474">
      <w:pPr>
        <w:tabs>
          <w:tab w:val="center" w:pos="3631"/>
          <w:tab w:val="center" w:pos="5585"/>
        </w:tabs>
        <w:spacing w:after="64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6"/>
          <w:szCs w:val="36"/>
        </w:rPr>
        <w:t xml:space="preserve">        </w:t>
      </w:r>
      <w:r w:rsidR="009E31DA" w:rsidRPr="009D4D29">
        <w:rPr>
          <w:rFonts w:ascii="Baskerville Old Face" w:hAnsi="Baskerville Old Face"/>
          <w:sz w:val="36"/>
          <w:szCs w:val="36"/>
        </w:rPr>
        <w:t xml:space="preserve">SIDEWALK CAFÉ/RETAIL </w:t>
      </w:r>
      <w:r w:rsidR="00C248EA" w:rsidRPr="009D4D29">
        <w:rPr>
          <w:rFonts w:ascii="Baskerville Old Face" w:hAnsi="Baskerville Old Face"/>
          <w:sz w:val="36"/>
          <w:szCs w:val="36"/>
        </w:rPr>
        <w:t>USE</w:t>
      </w:r>
      <w:r w:rsidR="009E31DA" w:rsidRPr="009D4D29">
        <w:rPr>
          <w:rFonts w:ascii="Baskerville Old Face" w:hAnsi="Baskerville Old Face"/>
          <w:sz w:val="36"/>
          <w:szCs w:val="36"/>
        </w:rPr>
        <w:t xml:space="preserve"> PERMIT</w:t>
      </w:r>
      <w:r w:rsidR="009D4D29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                                    ----------------------------------          Block 64 and Commercial Corridor – 2020    ------------------------------                                                                                               </w:t>
      </w:r>
    </w:p>
    <w:p w14:paraId="69B75799" w14:textId="77777777" w:rsidR="00770186" w:rsidRDefault="009D4D29" w:rsidP="008C2604">
      <w:pPr>
        <w:tabs>
          <w:tab w:val="center" w:pos="3631"/>
          <w:tab w:val="center" w:pos="5585"/>
        </w:tabs>
        <w:spacing w:after="648"/>
        <w:rPr>
          <w:rFonts w:ascii="Baskerville Old Face" w:hAnsi="Baskerville Old Face"/>
          <w:sz w:val="28"/>
          <w:szCs w:val="28"/>
        </w:rPr>
      </w:pPr>
      <w:r w:rsidRPr="00CC4E42">
        <w:rPr>
          <w:sz w:val="20"/>
          <w:szCs w:val="20"/>
        </w:rPr>
        <w:t>Fanwood is probusiness. The Borough encourages the use of the temporary outdoor café /retail use is a welcomed attraction to our pedestrian friendly community</w:t>
      </w:r>
      <w:r w:rsidR="00770186">
        <w:rPr>
          <w:sz w:val="20"/>
          <w:szCs w:val="20"/>
        </w:rPr>
        <w:t>.</w:t>
      </w:r>
      <w:r w:rsidR="008C2604">
        <w:rPr>
          <w:rFonts w:ascii="Baskerville Old Face" w:hAnsi="Baskerville Old Face"/>
          <w:sz w:val="28"/>
          <w:szCs w:val="28"/>
        </w:rPr>
        <w:t xml:space="preserve"> </w:t>
      </w:r>
      <w:r w:rsidR="00770186"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7735C7B0" w14:textId="77777777" w:rsidR="00770186" w:rsidRDefault="00052475" w:rsidP="00770186">
      <w:pPr>
        <w:tabs>
          <w:tab w:val="center" w:pos="3631"/>
          <w:tab w:val="center" w:pos="5585"/>
        </w:tabs>
        <w:spacing w:after="648"/>
        <w:rPr>
          <w:rFonts w:ascii="Baskerville Old Face" w:hAnsi="Baskerville Old Face"/>
          <w:sz w:val="28"/>
          <w:szCs w:val="28"/>
        </w:rPr>
      </w:pPr>
      <w:r w:rsidRPr="00CC4E42">
        <w:rPr>
          <w:sz w:val="20"/>
          <w:szCs w:val="20"/>
        </w:rPr>
        <w:t>The Code of the Borough of Fanwood requires that all lands and premises in the Borough of Fanwood, both residential and non-residential, must be maintained in accordance with the standards of upkeep and appearance.</w:t>
      </w:r>
      <w:r w:rsidR="00770186"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</w:t>
      </w:r>
    </w:p>
    <w:p w14:paraId="59F10C27" w14:textId="26E696D9" w:rsidR="00052475" w:rsidRPr="00770186" w:rsidRDefault="00052475" w:rsidP="00770186">
      <w:pPr>
        <w:tabs>
          <w:tab w:val="center" w:pos="3631"/>
          <w:tab w:val="center" w:pos="5585"/>
        </w:tabs>
        <w:spacing w:after="648"/>
        <w:rPr>
          <w:rFonts w:ascii="Baskerville Old Face" w:hAnsi="Baskerville Old Face"/>
          <w:sz w:val="28"/>
          <w:szCs w:val="28"/>
        </w:rPr>
      </w:pPr>
      <w:r w:rsidRPr="00CC4E42">
        <w:rPr>
          <w:sz w:val="20"/>
          <w:szCs w:val="20"/>
        </w:rPr>
        <w:t>In addition to the</w:t>
      </w:r>
      <w:r w:rsidR="00BC1240">
        <w:rPr>
          <w:sz w:val="20"/>
          <w:szCs w:val="20"/>
        </w:rPr>
        <w:t xml:space="preserve"> application </w:t>
      </w:r>
      <w:r w:rsidR="004F1411">
        <w:rPr>
          <w:sz w:val="20"/>
          <w:szCs w:val="20"/>
        </w:rPr>
        <w:t>(</w:t>
      </w:r>
      <w:r w:rsidR="00BC1240">
        <w:rPr>
          <w:sz w:val="20"/>
          <w:szCs w:val="20"/>
        </w:rPr>
        <w:t>attached</w:t>
      </w:r>
      <w:r w:rsidR="004F1411">
        <w:rPr>
          <w:sz w:val="20"/>
          <w:szCs w:val="20"/>
        </w:rPr>
        <w:t>)</w:t>
      </w:r>
      <w:r w:rsidRPr="00CC4E42">
        <w:rPr>
          <w:sz w:val="20"/>
          <w:szCs w:val="20"/>
        </w:rPr>
        <w:t>, the Borough has established a few additional guidelines in the interest of securing the annual permit; not limited to the following:</w:t>
      </w:r>
    </w:p>
    <w:p w14:paraId="0F6C076B" w14:textId="77777777" w:rsidR="00052475" w:rsidRPr="00CC4E42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>Annual applications shall be submitted to the Zoning office for preliminary review/approval.</w:t>
      </w:r>
    </w:p>
    <w:p w14:paraId="3E653FC8" w14:textId="3541DB99" w:rsidR="00052475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>Application must be clear, legible. and include all information which is pertinent to the approval.</w:t>
      </w:r>
    </w:p>
    <w:p w14:paraId="3A923BE6" w14:textId="3ADF30AC" w:rsidR="009D4D29" w:rsidRDefault="009D4D29" w:rsidP="0005247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Initial/Renewal </w:t>
      </w:r>
      <w:r w:rsidR="008C2604">
        <w:rPr>
          <w:sz w:val="20"/>
          <w:szCs w:val="20"/>
        </w:rPr>
        <w:t xml:space="preserve">Requirements: Annual </w:t>
      </w:r>
      <w:r>
        <w:rPr>
          <w:sz w:val="20"/>
          <w:szCs w:val="20"/>
        </w:rPr>
        <w:t xml:space="preserve">Interpretation is required </w:t>
      </w:r>
      <w:r w:rsidRPr="00CC4E42">
        <w:rPr>
          <w:sz w:val="20"/>
          <w:szCs w:val="20"/>
        </w:rPr>
        <w:t>April 1, 20</w:t>
      </w:r>
      <w:r>
        <w:rPr>
          <w:sz w:val="20"/>
          <w:szCs w:val="20"/>
        </w:rPr>
        <w:t>20</w:t>
      </w:r>
      <w:r w:rsidRPr="00CC4E42">
        <w:rPr>
          <w:sz w:val="20"/>
          <w:szCs w:val="20"/>
        </w:rPr>
        <w:t xml:space="preserve"> through </w:t>
      </w:r>
      <w:r>
        <w:rPr>
          <w:sz w:val="20"/>
          <w:szCs w:val="20"/>
        </w:rPr>
        <w:t>October 31</w:t>
      </w:r>
      <w:r w:rsidRPr="00CC4E42">
        <w:rPr>
          <w:sz w:val="20"/>
          <w:szCs w:val="20"/>
        </w:rPr>
        <w:t>, 20</w:t>
      </w:r>
      <w:r>
        <w:rPr>
          <w:sz w:val="20"/>
          <w:szCs w:val="20"/>
        </w:rPr>
        <w:t>20.</w:t>
      </w:r>
    </w:p>
    <w:p w14:paraId="65638FA1" w14:textId="31D46E9B" w:rsidR="009D4D29" w:rsidRDefault="009D4D29" w:rsidP="00052475">
      <w:pPr>
        <w:numPr>
          <w:ilvl w:val="0"/>
          <w:numId w:val="4"/>
        </w:numPr>
        <w:rPr>
          <w:b/>
          <w:bCs/>
          <w:i/>
          <w:iCs/>
          <w:sz w:val="20"/>
          <w:szCs w:val="20"/>
          <w:u w:val="single"/>
        </w:rPr>
      </w:pPr>
      <w:r w:rsidRPr="009D4D29">
        <w:rPr>
          <w:b/>
          <w:bCs/>
          <w:i/>
          <w:iCs/>
          <w:sz w:val="20"/>
          <w:szCs w:val="20"/>
          <w:u w:val="single"/>
        </w:rPr>
        <w:t>Any</w:t>
      </w:r>
      <w:r>
        <w:rPr>
          <w:b/>
          <w:bCs/>
          <w:i/>
          <w:iCs/>
          <w:sz w:val="20"/>
          <w:szCs w:val="20"/>
          <w:u w:val="single"/>
        </w:rPr>
        <w:t>/</w:t>
      </w:r>
      <w:r w:rsidRPr="009D4D29">
        <w:rPr>
          <w:b/>
          <w:bCs/>
          <w:i/>
          <w:iCs/>
          <w:sz w:val="20"/>
          <w:szCs w:val="20"/>
          <w:u w:val="single"/>
        </w:rPr>
        <w:t>All open permits/fees</w:t>
      </w:r>
      <w:r>
        <w:rPr>
          <w:b/>
          <w:bCs/>
          <w:i/>
          <w:iCs/>
          <w:sz w:val="20"/>
          <w:szCs w:val="20"/>
          <w:u w:val="single"/>
        </w:rPr>
        <w:t>/</w:t>
      </w:r>
      <w:r w:rsidRPr="009D4D29">
        <w:rPr>
          <w:b/>
          <w:bCs/>
          <w:i/>
          <w:iCs/>
          <w:sz w:val="20"/>
          <w:szCs w:val="20"/>
          <w:u w:val="single"/>
        </w:rPr>
        <w:t>registrations must be up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9D4D29">
        <w:rPr>
          <w:b/>
          <w:bCs/>
          <w:i/>
          <w:iCs/>
          <w:sz w:val="20"/>
          <w:szCs w:val="20"/>
          <w:u w:val="single"/>
        </w:rPr>
        <w:t>to date</w:t>
      </w:r>
      <w:r>
        <w:rPr>
          <w:b/>
          <w:bCs/>
          <w:i/>
          <w:iCs/>
          <w:sz w:val="20"/>
          <w:szCs w:val="20"/>
          <w:u w:val="single"/>
        </w:rPr>
        <w:t>/exercised</w:t>
      </w:r>
      <w:r w:rsidRPr="009D4D29">
        <w:rPr>
          <w:b/>
          <w:bCs/>
          <w:i/>
          <w:iCs/>
          <w:sz w:val="20"/>
          <w:szCs w:val="20"/>
          <w:u w:val="single"/>
        </w:rPr>
        <w:t xml:space="preserve"> prior to the issuance of Café Permit</w:t>
      </w:r>
    </w:p>
    <w:p w14:paraId="3CC21CE8" w14:textId="094A1096" w:rsidR="003F2DD1" w:rsidRPr="009D4D29" w:rsidRDefault="003F2DD1" w:rsidP="00052475">
      <w:pPr>
        <w:numPr>
          <w:ilvl w:val="0"/>
          <w:numId w:val="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Food License must be active current March 31, 2020 – March 31, 2021 (Annual handler’s renewal)  </w:t>
      </w:r>
    </w:p>
    <w:p w14:paraId="4D4CA011" w14:textId="75563924" w:rsidR="00052475" w:rsidRPr="00CC4E42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 xml:space="preserve">The permit may be exercised </w:t>
      </w:r>
      <w:r w:rsidRPr="00CC4E42">
        <w:rPr>
          <w:i/>
          <w:sz w:val="20"/>
          <w:szCs w:val="20"/>
          <w:u w:val="single"/>
        </w:rPr>
        <w:t>following the review/approval</w:t>
      </w:r>
      <w:r w:rsidRPr="00CC4E42">
        <w:rPr>
          <w:sz w:val="20"/>
          <w:szCs w:val="20"/>
        </w:rPr>
        <w:t xml:space="preserve"> of the Zoning Official and B</w:t>
      </w:r>
      <w:r w:rsidR="00C248EA">
        <w:rPr>
          <w:sz w:val="20"/>
          <w:szCs w:val="20"/>
        </w:rPr>
        <w:t>orough</w:t>
      </w:r>
      <w:r w:rsidRPr="00CC4E42">
        <w:rPr>
          <w:sz w:val="20"/>
          <w:szCs w:val="20"/>
        </w:rPr>
        <w:t xml:space="preserve"> Administrator.</w:t>
      </w:r>
    </w:p>
    <w:p w14:paraId="0FA57FCD" w14:textId="05EA8A77" w:rsidR="00052475" w:rsidRPr="00CC4E42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>Tables</w:t>
      </w:r>
      <w:r w:rsidR="00CC4E42" w:rsidRPr="00CC4E42">
        <w:rPr>
          <w:sz w:val="20"/>
          <w:szCs w:val="20"/>
        </w:rPr>
        <w:t>/</w:t>
      </w:r>
      <w:r w:rsidRPr="00CC4E42">
        <w:rPr>
          <w:sz w:val="20"/>
          <w:szCs w:val="20"/>
        </w:rPr>
        <w:t>chairs</w:t>
      </w:r>
      <w:r w:rsidR="00CC4E42" w:rsidRPr="00CC4E42">
        <w:rPr>
          <w:sz w:val="20"/>
          <w:szCs w:val="20"/>
        </w:rPr>
        <w:t>/displays</w:t>
      </w:r>
      <w:r w:rsidRPr="00CC4E42">
        <w:rPr>
          <w:sz w:val="20"/>
          <w:szCs w:val="20"/>
        </w:rPr>
        <w:t xml:space="preserve"> must align the establishment frontage</w:t>
      </w:r>
      <w:r w:rsidR="000F67DE">
        <w:rPr>
          <w:sz w:val="20"/>
          <w:szCs w:val="20"/>
        </w:rPr>
        <w:t xml:space="preserve"> (side and rear may apply)</w:t>
      </w:r>
      <w:r w:rsidRPr="00CC4E42">
        <w:rPr>
          <w:sz w:val="20"/>
          <w:szCs w:val="20"/>
        </w:rPr>
        <w:t xml:space="preserve">. The sidewalks must remain available and unobstructed thus allowing opportunity for pedestrian flow. </w:t>
      </w:r>
      <w:r w:rsidRPr="00CC4E42">
        <w:rPr>
          <w:b/>
          <w:bCs/>
          <w:i/>
          <w:iCs/>
          <w:sz w:val="20"/>
          <w:szCs w:val="20"/>
          <w:u w:val="single"/>
        </w:rPr>
        <w:t>Six (6) foot pedestrian sidewalk.</w:t>
      </w:r>
    </w:p>
    <w:p w14:paraId="5B2483DC" w14:textId="0025FF4F" w:rsidR="00052475" w:rsidRPr="00CC4E42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>When not in use, the chairs</w:t>
      </w:r>
      <w:r w:rsidR="00CC4E42" w:rsidRPr="00CC4E42">
        <w:rPr>
          <w:sz w:val="20"/>
          <w:szCs w:val="20"/>
        </w:rPr>
        <w:t>/</w:t>
      </w:r>
      <w:r w:rsidRPr="00CC4E42">
        <w:rPr>
          <w:sz w:val="20"/>
          <w:szCs w:val="20"/>
        </w:rPr>
        <w:t>tables</w:t>
      </w:r>
      <w:r w:rsidR="00CC4E42" w:rsidRPr="00CC4E42">
        <w:rPr>
          <w:sz w:val="20"/>
          <w:szCs w:val="20"/>
        </w:rPr>
        <w:t>/displays</w:t>
      </w:r>
      <w:r w:rsidRPr="00CC4E42">
        <w:rPr>
          <w:sz w:val="20"/>
          <w:szCs w:val="20"/>
        </w:rPr>
        <w:t xml:space="preserve"> must be secured a free from blight. No outside of doors refuse</w:t>
      </w:r>
      <w:r w:rsidR="00BC1240">
        <w:rPr>
          <w:sz w:val="20"/>
          <w:szCs w:val="20"/>
        </w:rPr>
        <w:t>/recycle</w:t>
      </w:r>
      <w:r w:rsidRPr="00CC4E42">
        <w:rPr>
          <w:sz w:val="20"/>
          <w:szCs w:val="20"/>
        </w:rPr>
        <w:t xml:space="preserve"> cans. </w:t>
      </w:r>
    </w:p>
    <w:p w14:paraId="3500ECE4" w14:textId="726F2E8E" w:rsidR="00052475" w:rsidRPr="00CC4E42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 xml:space="preserve">Advertisements/banners are subject to the review/approval of the Zoning Official and the governing body prior to installation. </w:t>
      </w:r>
      <w:r w:rsidR="00BC1240">
        <w:rPr>
          <w:sz w:val="20"/>
          <w:szCs w:val="20"/>
        </w:rPr>
        <w:t xml:space="preserve">                                  </w:t>
      </w:r>
      <w:r w:rsidRPr="00CC4E42">
        <w:rPr>
          <w:sz w:val="20"/>
          <w:szCs w:val="20"/>
        </w:rPr>
        <w:t xml:space="preserve">Kindly note that banner and advertisements are restricted to a limited time.       </w:t>
      </w:r>
    </w:p>
    <w:p w14:paraId="22E36517" w14:textId="2F03848D" w:rsidR="00052475" w:rsidRPr="00CC4E42" w:rsidRDefault="00052475" w:rsidP="00052475">
      <w:pPr>
        <w:ind w:left="420"/>
        <w:rPr>
          <w:sz w:val="20"/>
          <w:szCs w:val="20"/>
        </w:rPr>
      </w:pPr>
      <w:r w:rsidRPr="00CC4E42">
        <w:rPr>
          <w:sz w:val="20"/>
          <w:szCs w:val="20"/>
        </w:rPr>
        <w:t>Banners are traditionally offered to recognize an anniversary, milestone, and/or grand opening, and not to advertise another good/service and/or offer a promotional advertisement; daily specials etc.</w:t>
      </w:r>
    </w:p>
    <w:p w14:paraId="08A9F8DA" w14:textId="70BDB01A" w:rsidR="00052475" w:rsidRPr="00CC4E42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 xml:space="preserve">Under separate review the </w:t>
      </w:r>
      <w:r w:rsidR="00CC4E42" w:rsidRPr="00CC4E42">
        <w:rPr>
          <w:sz w:val="20"/>
          <w:szCs w:val="20"/>
        </w:rPr>
        <w:t>permit</w:t>
      </w:r>
      <w:r w:rsidRPr="00CC4E42">
        <w:rPr>
          <w:sz w:val="20"/>
          <w:szCs w:val="20"/>
        </w:rPr>
        <w:t xml:space="preserve"> must meet all requirements </w:t>
      </w:r>
      <w:r w:rsidR="00BC1240">
        <w:rPr>
          <w:sz w:val="20"/>
          <w:szCs w:val="20"/>
        </w:rPr>
        <w:t>from</w:t>
      </w:r>
      <w:r w:rsidRPr="00CC4E42">
        <w:rPr>
          <w:sz w:val="20"/>
          <w:szCs w:val="20"/>
        </w:rPr>
        <w:t xml:space="preserve"> the Uniform Construction Code.</w:t>
      </w:r>
    </w:p>
    <w:p w14:paraId="7BBC8055" w14:textId="1DC2E24F" w:rsidR="00052475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>The café</w:t>
      </w:r>
      <w:r w:rsidR="00CC4E42" w:rsidRPr="00CC4E42">
        <w:rPr>
          <w:sz w:val="20"/>
          <w:szCs w:val="20"/>
        </w:rPr>
        <w:t>/retail use</w:t>
      </w:r>
      <w:r w:rsidR="00C248EA">
        <w:rPr>
          <w:sz w:val="20"/>
          <w:szCs w:val="20"/>
        </w:rPr>
        <w:t xml:space="preserve"> permit</w:t>
      </w:r>
      <w:r w:rsidR="00CC4E42" w:rsidRPr="00CC4E42">
        <w:rPr>
          <w:sz w:val="20"/>
          <w:szCs w:val="20"/>
        </w:rPr>
        <w:t xml:space="preserve"> </w:t>
      </w:r>
      <w:r w:rsidRPr="00CC4E42">
        <w:rPr>
          <w:sz w:val="20"/>
          <w:szCs w:val="20"/>
        </w:rPr>
        <w:t>is subject to the review/approval/permitting</w:t>
      </w:r>
      <w:r w:rsidR="00BC1240">
        <w:rPr>
          <w:sz w:val="20"/>
          <w:szCs w:val="20"/>
        </w:rPr>
        <w:t>/requirements</w:t>
      </w:r>
      <w:r w:rsidRPr="00CC4E42">
        <w:rPr>
          <w:sz w:val="20"/>
          <w:szCs w:val="20"/>
        </w:rPr>
        <w:t xml:space="preserve"> </w:t>
      </w:r>
      <w:r w:rsidR="00BC1240">
        <w:rPr>
          <w:sz w:val="20"/>
          <w:szCs w:val="20"/>
        </w:rPr>
        <w:t>from</w:t>
      </w:r>
      <w:r w:rsidRPr="00CC4E42">
        <w:rPr>
          <w:sz w:val="20"/>
          <w:szCs w:val="20"/>
        </w:rPr>
        <w:t xml:space="preserve"> the Borough Board of Health</w:t>
      </w:r>
      <w:r w:rsidR="00BC1240">
        <w:rPr>
          <w:sz w:val="20"/>
          <w:szCs w:val="20"/>
        </w:rPr>
        <w:t>.</w:t>
      </w:r>
    </w:p>
    <w:p w14:paraId="5870B7E1" w14:textId="7C53C835" w:rsidR="004F1411" w:rsidRDefault="004F1411" w:rsidP="0005247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Attached are the Board of Health supplements in the best interest of public health, safety and social distancing</w:t>
      </w:r>
      <w:r w:rsidR="003F2DD1">
        <w:rPr>
          <w:sz w:val="20"/>
          <w:szCs w:val="20"/>
        </w:rPr>
        <w:t>.</w:t>
      </w:r>
    </w:p>
    <w:p w14:paraId="3EA0B18D" w14:textId="3EEF91AF" w:rsidR="004F1411" w:rsidRPr="00CC4E42" w:rsidRDefault="004F1411" w:rsidP="0005247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Attached Governor Murphy’s Executive Order 150. Effective June 15, 2020.</w:t>
      </w:r>
    </w:p>
    <w:p w14:paraId="0994457A" w14:textId="7FAACB62" w:rsidR="00052475" w:rsidRDefault="00052475" w:rsidP="00052475">
      <w:pPr>
        <w:numPr>
          <w:ilvl w:val="0"/>
          <w:numId w:val="4"/>
        </w:numPr>
        <w:rPr>
          <w:sz w:val="20"/>
          <w:szCs w:val="20"/>
        </w:rPr>
      </w:pPr>
      <w:r w:rsidRPr="00CC4E42">
        <w:rPr>
          <w:sz w:val="20"/>
          <w:szCs w:val="20"/>
        </w:rPr>
        <w:t>The café</w:t>
      </w:r>
      <w:r w:rsidR="00CC4E42" w:rsidRPr="00CC4E42">
        <w:rPr>
          <w:sz w:val="20"/>
          <w:szCs w:val="20"/>
        </w:rPr>
        <w:t>/retail</w:t>
      </w:r>
      <w:r w:rsidR="00C248EA">
        <w:rPr>
          <w:sz w:val="20"/>
          <w:szCs w:val="20"/>
        </w:rPr>
        <w:t xml:space="preserve"> use</w:t>
      </w:r>
      <w:r w:rsidRPr="00CC4E42">
        <w:rPr>
          <w:sz w:val="20"/>
          <w:szCs w:val="20"/>
        </w:rPr>
        <w:t xml:space="preserve"> permit must meet all requirements as established via ordinance Article III 259: 35-47 in the enclosure provided. </w:t>
      </w:r>
    </w:p>
    <w:p w14:paraId="56495973" w14:textId="783AFF1B" w:rsidR="001A1474" w:rsidRDefault="001A1474" w:rsidP="00052475">
      <w:pPr>
        <w:numPr>
          <w:ilvl w:val="0"/>
          <w:numId w:val="4"/>
        </w:numPr>
        <w:rPr>
          <w:sz w:val="20"/>
          <w:szCs w:val="20"/>
        </w:rPr>
      </w:pPr>
      <w:bookmarkStart w:id="0" w:name="_Hlk42688489"/>
      <w:r>
        <w:rPr>
          <w:sz w:val="20"/>
          <w:szCs w:val="20"/>
        </w:rPr>
        <w:t>The Zoning Department reserves the right to provide guidance on a parcel by parcel and/or use by use; not limited to interpretation terms, and conditions.</w:t>
      </w:r>
    </w:p>
    <w:bookmarkEnd w:id="0"/>
    <w:p w14:paraId="0A59B502" w14:textId="77777777" w:rsidR="001A1474" w:rsidRPr="00CC4E42" w:rsidRDefault="001A1474" w:rsidP="008C2604">
      <w:pPr>
        <w:ind w:left="420"/>
        <w:rPr>
          <w:sz w:val="20"/>
          <w:szCs w:val="20"/>
        </w:rPr>
      </w:pPr>
    </w:p>
    <w:p w14:paraId="525198C6" w14:textId="14300429" w:rsidR="004F1411" w:rsidRPr="000F67DE" w:rsidRDefault="004F1411" w:rsidP="001A1474">
      <w:pPr>
        <w:pStyle w:val="BodyText"/>
        <w:rPr>
          <w:sz w:val="20"/>
          <w:szCs w:val="20"/>
        </w:rPr>
      </w:pPr>
      <w:r w:rsidRPr="00CC4E42">
        <w:rPr>
          <w:sz w:val="20"/>
          <w:szCs w:val="20"/>
        </w:rPr>
        <w:t xml:space="preserve">Liz Jeffery is the Borough’s Director of Economic Development. The Borough offers quarterly meetings in </w:t>
      </w:r>
      <w:r w:rsidRPr="000F67DE">
        <w:rPr>
          <w:sz w:val="20"/>
          <w:szCs w:val="20"/>
        </w:rPr>
        <w:t xml:space="preserve">for collaboration and promotional opportunities. Additionally, the Borough encourages participation in annual events as Fanwood Ladies Night Out, Shop Small Saturday and Fanny Wood Day (September). </w:t>
      </w:r>
    </w:p>
    <w:p w14:paraId="183A11E5" w14:textId="77777777" w:rsidR="00052475" w:rsidRPr="00CC4E42" w:rsidRDefault="00052475" w:rsidP="00052475">
      <w:pPr>
        <w:ind w:left="420"/>
        <w:rPr>
          <w:sz w:val="20"/>
          <w:szCs w:val="20"/>
        </w:rPr>
      </w:pPr>
      <w:r w:rsidRPr="00CC4E42">
        <w:rPr>
          <w:sz w:val="20"/>
          <w:szCs w:val="20"/>
        </w:rPr>
        <w:t xml:space="preserve">       </w:t>
      </w:r>
    </w:p>
    <w:p w14:paraId="09C3559D" w14:textId="6986C0C2" w:rsidR="00052475" w:rsidRDefault="00052475" w:rsidP="00052475">
      <w:pPr>
        <w:pStyle w:val="BodyText"/>
        <w:rPr>
          <w:sz w:val="20"/>
          <w:szCs w:val="20"/>
        </w:rPr>
      </w:pPr>
      <w:r w:rsidRPr="00CC4E42">
        <w:rPr>
          <w:sz w:val="20"/>
          <w:szCs w:val="20"/>
        </w:rPr>
        <w:t>In the event that the Borough offices may be of further assistance, please do not hesitate to contact me directly @ 908.322.5244 extension 132.</w:t>
      </w:r>
      <w:r w:rsidR="009D4D29">
        <w:rPr>
          <w:sz w:val="20"/>
          <w:szCs w:val="20"/>
        </w:rPr>
        <w:t xml:space="preserve">    </w:t>
      </w:r>
    </w:p>
    <w:p w14:paraId="25B82960" w14:textId="6B497C38" w:rsidR="00052475" w:rsidRPr="00CC4E42" w:rsidRDefault="009D4D29" w:rsidP="001A147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25180A57" w14:textId="76C82B88" w:rsidR="00052475" w:rsidRPr="00CC4E42" w:rsidRDefault="00052475" w:rsidP="00052475">
      <w:pPr>
        <w:pStyle w:val="BodyText"/>
        <w:rPr>
          <w:sz w:val="20"/>
          <w:szCs w:val="20"/>
        </w:rPr>
      </w:pPr>
      <w:r w:rsidRPr="00CC4E42">
        <w:rPr>
          <w:sz w:val="20"/>
          <w:szCs w:val="20"/>
        </w:rPr>
        <w:t xml:space="preserve">                                                                          </w:t>
      </w:r>
      <w:r w:rsidR="00CC4E42">
        <w:rPr>
          <w:sz w:val="20"/>
          <w:szCs w:val="20"/>
        </w:rPr>
        <w:t xml:space="preserve"> </w:t>
      </w:r>
      <w:r w:rsidRPr="00CC4E42">
        <w:rPr>
          <w:sz w:val="20"/>
          <w:szCs w:val="20"/>
        </w:rPr>
        <w:t>Ray</w:t>
      </w:r>
      <w:r w:rsidR="00CC4E42">
        <w:rPr>
          <w:sz w:val="20"/>
          <w:szCs w:val="20"/>
        </w:rPr>
        <w:t xml:space="preserve">mond L. </w:t>
      </w:r>
      <w:r w:rsidRPr="00CC4E42">
        <w:rPr>
          <w:sz w:val="20"/>
          <w:szCs w:val="20"/>
        </w:rPr>
        <w:t>Sullivan, Zoning Official</w:t>
      </w:r>
    </w:p>
    <w:sectPr w:rsidR="00052475" w:rsidRPr="00CC4E42" w:rsidSect="001A1474">
      <w:headerReference w:type="default" r:id="rId8"/>
      <w:footerReference w:type="default" r:id="rId9"/>
      <w:pgSz w:w="12240" w:h="15840"/>
      <w:pgMar w:top="180" w:right="360" w:bottom="0" w:left="63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89F9" w14:textId="77777777" w:rsidR="00E265B7" w:rsidRDefault="00E265B7" w:rsidP="00E265B7">
      <w:r>
        <w:separator/>
      </w:r>
    </w:p>
  </w:endnote>
  <w:endnote w:type="continuationSeparator" w:id="0">
    <w:p w14:paraId="2719A2C7" w14:textId="77777777" w:rsidR="00E265B7" w:rsidRDefault="00E265B7" w:rsidP="00E2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6D71" w14:textId="6D59021B" w:rsidR="00E265B7" w:rsidRDefault="00E265B7">
    <w:pPr>
      <w:pStyle w:val="Footer"/>
    </w:pPr>
  </w:p>
  <w:p w14:paraId="416CDAF5" w14:textId="77777777" w:rsidR="00E265B7" w:rsidRDefault="00E2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FB3D" w14:textId="77777777" w:rsidR="00E265B7" w:rsidRDefault="00E265B7" w:rsidP="00E265B7">
      <w:r>
        <w:separator/>
      </w:r>
    </w:p>
  </w:footnote>
  <w:footnote w:type="continuationSeparator" w:id="0">
    <w:p w14:paraId="5FAFE1D0" w14:textId="77777777" w:rsidR="00E265B7" w:rsidRDefault="00E265B7" w:rsidP="00E2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C482" w14:textId="47B8A672" w:rsidR="00E265B7" w:rsidRDefault="00E265B7">
    <w:pPr>
      <w:pStyle w:val="Header"/>
    </w:pPr>
  </w:p>
  <w:p w14:paraId="03E1F8CB" w14:textId="77777777" w:rsidR="00E265B7" w:rsidRDefault="00E26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4A4"/>
    <w:multiLevelType w:val="hybridMultilevel"/>
    <w:tmpl w:val="67B8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5F4C"/>
    <w:multiLevelType w:val="hybridMultilevel"/>
    <w:tmpl w:val="63123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C371EB"/>
    <w:multiLevelType w:val="hybridMultilevel"/>
    <w:tmpl w:val="4DF8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2C74"/>
    <w:multiLevelType w:val="hybridMultilevel"/>
    <w:tmpl w:val="CBC4C910"/>
    <w:lvl w:ilvl="0" w:tplc="7B98D1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72"/>
    <w:rsid w:val="00052475"/>
    <w:rsid w:val="000F67DE"/>
    <w:rsid w:val="00131F81"/>
    <w:rsid w:val="00182ED7"/>
    <w:rsid w:val="001A1474"/>
    <w:rsid w:val="002508FB"/>
    <w:rsid w:val="00270325"/>
    <w:rsid w:val="003F2DD1"/>
    <w:rsid w:val="004D05A2"/>
    <w:rsid w:val="004E2BEE"/>
    <w:rsid w:val="004F1411"/>
    <w:rsid w:val="005D419A"/>
    <w:rsid w:val="005D62C1"/>
    <w:rsid w:val="00770186"/>
    <w:rsid w:val="008C2604"/>
    <w:rsid w:val="00990E74"/>
    <w:rsid w:val="009D4D29"/>
    <w:rsid w:val="009D5D72"/>
    <w:rsid w:val="009E31DA"/>
    <w:rsid w:val="00AA6C99"/>
    <w:rsid w:val="00BC1240"/>
    <w:rsid w:val="00C248EA"/>
    <w:rsid w:val="00CC4E42"/>
    <w:rsid w:val="00CF1A46"/>
    <w:rsid w:val="00D04E7D"/>
    <w:rsid w:val="00E265B7"/>
    <w:rsid w:val="00E71771"/>
    <w:rsid w:val="00F67FC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E0F3FD"/>
  <w15:docId w15:val="{492FC97C-E8ED-463F-8678-F957BA50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/>
      <w:ind w:right="3014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InsideAddressName">
    <w:name w:val="Inside Address Name"/>
    <w:basedOn w:val="Normal"/>
    <w:rsid w:val="00E265B7"/>
    <w:rPr>
      <w:color w:val="auto"/>
      <w:sz w:val="24"/>
      <w:szCs w:val="24"/>
    </w:rPr>
  </w:style>
  <w:style w:type="paragraph" w:customStyle="1" w:styleId="InsideAddress">
    <w:name w:val="Inside Address"/>
    <w:basedOn w:val="Normal"/>
    <w:rsid w:val="00E265B7"/>
    <w:rPr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E265B7"/>
    <w:pPr>
      <w:spacing w:after="120"/>
    </w:pPr>
    <w:rPr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65B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E265B7"/>
  </w:style>
  <w:style w:type="paragraph" w:styleId="Header">
    <w:name w:val="header"/>
    <w:basedOn w:val="Normal"/>
    <w:link w:val="HeaderChar"/>
    <w:uiPriority w:val="99"/>
    <w:unhideWhenUsed/>
    <w:rsid w:val="00E26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B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6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B7"/>
    <w:rPr>
      <w:rFonts w:ascii="Times New Roman" w:eastAsia="Times New Roman" w:hAnsi="Times New Roman" w:cs="Times New Roman"/>
      <w:color w:val="000000"/>
    </w:rPr>
  </w:style>
  <w:style w:type="character" w:customStyle="1" w:styleId="titlenumber2">
    <w:name w:val="titlenumber2"/>
    <w:rsid w:val="00182ED7"/>
  </w:style>
  <w:style w:type="character" w:customStyle="1" w:styleId="titletitle3">
    <w:name w:val="titletitle3"/>
    <w:rsid w:val="00182ED7"/>
  </w:style>
  <w:style w:type="character" w:customStyle="1" w:styleId="highlight">
    <w:name w:val="highlight"/>
    <w:rsid w:val="0018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Halloran</dc:creator>
  <cp:keywords/>
  <cp:lastModifiedBy>Raymond Sullivan</cp:lastModifiedBy>
  <cp:revision>5</cp:revision>
  <cp:lastPrinted>2019-01-31T21:06:00Z</cp:lastPrinted>
  <dcterms:created xsi:type="dcterms:W3CDTF">2020-06-08T18:23:00Z</dcterms:created>
  <dcterms:modified xsi:type="dcterms:W3CDTF">2020-06-15T17:36:00Z</dcterms:modified>
</cp:coreProperties>
</file>